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41" w:rsidRDefault="00F25641" w:rsidP="00F25641">
      <w:pPr>
        <w:spacing w:line="300" w:lineRule="auto"/>
        <w:jc w:val="center"/>
        <w:rPr>
          <w:rFonts w:ascii="微软雅黑" w:eastAsia="微软雅黑"/>
          <w:b/>
          <w:sz w:val="32"/>
        </w:rPr>
      </w:pPr>
      <w:r>
        <w:rPr>
          <w:rFonts w:ascii="微软雅黑" w:eastAsia="微软雅黑" w:hint="eastAsia"/>
          <w:b/>
          <w:sz w:val="32"/>
        </w:rPr>
        <w:t>西南交通大学</w:t>
      </w:r>
      <w:r w:rsidR="00BA6655">
        <w:rPr>
          <w:rFonts w:ascii="微软雅黑" w:eastAsia="微软雅黑" w:hint="eastAsia"/>
          <w:b/>
          <w:kern w:val="0"/>
          <w:sz w:val="32"/>
        </w:rPr>
        <w:t>远程与继续教育学院</w:t>
      </w:r>
    </w:p>
    <w:p w:rsidR="00DB5142" w:rsidRDefault="00F25641" w:rsidP="00F25641">
      <w:pPr>
        <w:spacing w:line="300" w:lineRule="auto"/>
        <w:jc w:val="center"/>
        <w:rPr>
          <w:rFonts w:ascii="微软雅黑" w:eastAsia="微软雅黑"/>
          <w:b/>
          <w:sz w:val="32"/>
        </w:rPr>
      </w:pPr>
      <w:r>
        <w:rPr>
          <w:rFonts w:ascii="微软雅黑" w:eastAsia="微软雅黑" w:hint="eastAsia"/>
          <w:b/>
          <w:sz w:val="32"/>
        </w:rPr>
        <w:t>专升本</w:t>
      </w:r>
      <w:r w:rsidR="00BA6655">
        <w:rPr>
          <w:rFonts w:ascii="微软雅黑" w:eastAsia="微软雅黑" w:hint="eastAsia"/>
          <w:b/>
          <w:sz w:val="32"/>
        </w:rPr>
        <w:t xml:space="preserve"> </w:t>
      </w:r>
      <w:r>
        <w:rPr>
          <w:rFonts w:ascii="微软雅黑" w:eastAsia="微软雅黑" w:hint="eastAsia"/>
          <w:b/>
          <w:sz w:val="32"/>
        </w:rPr>
        <w:t>工程管理</w:t>
      </w:r>
      <w:r w:rsidR="00BA6655">
        <w:rPr>
          <w:rFonts w:ascii="微软雅黑" w:eastAsia="微软雅黑" w:hint="eastAsia"/>
          <w:b/>
          <w:sz w:val="32"/>
        </w:rPr>
        <w:t xml:space="preserve">专业 </w:t>
      </w:r>
      <w:r>
        <w:rPr>
          <w:rFonts w:ascii="微软雅黑" w:eastAsia="微软雅黑" w:hint="eastAsia"/>
          <w:b/>
          <w:sz w:val="32"/>
        </w:rPr>
        <w:t>教学计划</w:t>
      </w:r>
    </w:p>
    <w:p w:rsidR="00F25641" w:rsidRDefault="00F25641" w:rsidP="00F25641">
      <w:pPr>
        <w:spacing w:line="300" w:lineRule="auto"/>
        <w:jc w:val="center"/>
        <w:rPr>
          <w:rFonts w:ascii="微软雅黑" w:eastAsia="微软雅黑"/>
          <w:b/>
          <w:sz w:val="32"/>
        </w:rPr>
      </w:pPr>
    </w:p>
    <w:p w:rsidR="00F25641" w:rsidRDefault="00F25641" w:rsidP="00F25641">
      <w:pPr>
        <w:spacing w:line="360" w:lineRule="auto"/>
        <w:jc w:val="left"/>
        <w:rPr>
          <w:rFonts w:ascii="宋体" w:eastAsia="宋体" w:hAnsi="宋体"/>
        </w:rPr>
      </w:pPr>
      <w:r>
        <w:rPr>
          <w:rFonts w:ascii="宋体" w:eastAsia="宋体" w:hAnsi="宋体"/>
          <w:b/>
        </w:rPr>
        <w:t xml:space="preserve">    培养目标：</w:t>
      </w:r>
      <w:r>
        <w:rPr>
          <w:rFonts w:ascii="宋体" w:eastAsia="宋体" w:hAnsi="宋体"/>
        </w:rPr>
        <w:t>本专业旨在培养具有建筑工程技术的基本知识和现代管理理论、方法和手段的应用型建筑工程高级管理人才。毕业生主要从事建筑工程领域（如房地产业、监理公司、建筑工程咨询企业及相关主管部门等）建筑工程项目规划、项目决策、项目管理等工作。</w:t>
      </w:r>
    </w:p>
    <w:p w:rsidR="00F25641" w:rsidRDefault="00F25641" w:rsidP="00F25641">
      <w:pPr>
        <w:spacing w:line="360" w:lineRule="auto"/>
        <w:jc w:val="left"/>
        <w:rPr>
          <w:rFonts w:ascii="宋体" w:eastAsia="宋体" w:hAnsi="宋体"/>
        </w:rPr>
      </w:pPr>
      <w:r>
        <w:rPr>
          <w:rFonts w:ascii="宋体" w:eastAsia="宋体" w:hAnsi="宋体"/>
          <w:b/>
        </w:rPr>
        <w:t xml:space="preserve">    基本要求：</w:t>
      </w:r>
      <w:r>
        <w:rPr>
          <w:rFonts w:ascii="宋体" w:eastAsia="宋体" w:hAnsi="宋体"/>
        </w:rPr>
        <w:t>要求学生在学习和掌握建筑工程专业的基本理论和专业知识的前提下，重点学习和掌握现代管理理论、方法和手段方面的基本理论和专业知识，将管理学原理和建筑工程技术相结合，使学生具有运用管理学理论和方法解决建筑工程管理实际问题、对建筑工程的建设过程能进行有效控制和科学管理的基本能力。</w:t>
      </w:r>
    </w:p>
    <w:p w:rsidR="00F25641" w:rsidRDefault="00F25641" w:rsidP="00F25641">
      <w:pPr>
        <w:spacing w:line="360" w:lineRule="auto"/>
        <w:jc w:val="left"/>
        <w:rPr>
          <w:rFonts w:ascii="宋体" w:eastAsia="宋体" w:hAnsi="宋体"/>
        </w:rPr>
      </w:pPr>
      <w:r>
        <w:rPr>
          <w:rFonts w:ascii="宋体" w:eastAsia="宋体" w:hAnsi="宋体"/>
        </w:rPr>
        <w:t xml:space="preserve">    通过本专业的学习，培养学生获得以下几方面的知识和能力：1、掌握建筑工程专业方面的基础知识、基本理论和专业知识。2、熟悉工程经济、合同管理和工程造价方面的基本理论和方法。3、掌握建筑工程投资与经济评价的基本理论和方法。</w:t>
      </w:r>
    </w:p>
    <w:p w:rsidR="00F25641" w:rsidRDefault="00F25641" w:rsidP="00F25641">
      <w:pPr>
        <w:spacing w:line="360" w:lineRule="auto"/>
        <w:jc w:val="left"/>
        <w:rPr>
          <w:rFonts w:ascii="宋体" w:eastAsia="宋体" w:hAnsi="宋体"/>
        </w:rPr>
      </w:pPr>
      <w:r>
        <w:rPr>
          <w:rFonts w:ascii="宋体" w:eastAsia="宋体" w:hAnsi="宋体"/>
          <w:b/>
        </w:rPr>
        <w:t xml:space="preserve">    专业特色：</w:t>
      </w:r>
      <w:r>
        <w:rPr>
          <w:rFonts w:ascii="宋体" w:eastAsia="宋体" w:hAnsi="宋体"/>
        </w:rPr>
        <w:t>本专业依托我校建筑工程与管理学科优势，以建筑工程、管理学以及经济学紧密结合为特色，培养既懂建筑工程技术、又懂管理和经济的建筑工程高级管理人才。</w:t>
      </w:r>
    </w:p>
    <w:p w:rsidR="00F25641" w:rsidRDefault="00F25641" w:rsidP="00F25641">
      <w:pPr>
        <w:spacing w:line="360" w:lineRule="auto"/>
        <w:jc w:val="left"/>
        <w:rPr>
          <w:rFonts w:ascii="宋体" w:eastAsia="宋体" w:hAnsi="宋体"/>
        </w:rPr>
      </w:pPr>
      <w:r>
        <w:rPr>
          <w:rFonts w:ascii="宋体" w:eastAsia="宋体" w:hAnsi="宋体"/>
          <w:b/>
        </w:rPr>
        <w:t xml:space="preserve">    主干课程：</w:t>
      </w:r>
      <w:r>
        <w:rPr>
          <w:rFonts w:ascii="宋体" w:eastAsia="宋体" w:hAnsi="宋体"/>
        </w:rPr>
        <w:t>工程数学I、工程经济学B、管理学原理C、土木工程项目管理B、建筑工程合同管理、投资风险管理学、项目决策分析与评价B。</w:t>
      </w:r>
    </w:p>
    <w:p w:rsidR="00F25641" w:rsidRDefault="00F25641" w:rsidP="00F25641">
      <w:pPr>
        <w:spacing w:line="360" w:lineRule="auto"/>
        <w:jc w:val="left"/>
        <w:rPr>
          <w:rFonts w:ascii="宋体" w:eastAsia="宋体" w:hAnsi="宋体"/>
        </w:rPr>
      </w:pPr>
      <w:r>
        <w:rPr>
          <w:rFonts w:ascii="宋体" w:eastAsia="宋体" w:hAnsi="宋体"/>
          <w:b/>
        </w:rPr>
        <w:t xml:space="preserve">    申请学位所需课程：</w:t>
      </w:r>
      <w:r>
        <w:rPr>
          <w:rFonts w:ascii="宋体" w:eastAsia="宋体" w:hAnsi="宋体"/>
        </w:rPr>
        <w:t>管理学原理C、土木工程项目管理B、工程造价确定与控制B。</w:t>
      </w:r>
    </w:p>
    <w:p w:rsidR="00F25641" w:rsidRDefault="00F25641" w:rsidP="00F25641">
      <w:pPr>
        <w:spacing w:line="360" w:lineRule="auto"/>
        <w:jc w:val="left"/>
        <w:rPr>
          <w:rFonts w:ascii="楷体" w:eastAsia="楷体" w:hAnsi="宋体"/>
        </w:rPr>
      </w:pPr>
      <w:r>
        <w:rPr>
          <w:rFonts w:ascii="楷体" w:eastAsia="楷体" w:hAnsi="宋体"/>
        </w:rPr>
        <w:t xml:space="preserve">    （说明：表格中课程名称带星号的为核心课程）</w:t>
      </w:r>
    </w:p>
    <w:p w:rsidR="00F25641" w:rsidRDefault="00F25641" w:rsidP="00F25641">
      <w:pPr>
        <w:spacing w:line="360" w:lineRule="auto"/>
        <w:jc w:val="left"/>
        <w:rPr>
          <w:rFonts w:ascii="楷体" w:eastAsia="楷体" w:hAnsi="宋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78"/>
        <w:gridCol w:w="2712"/>
        <w:gridCol w:w="968"/>
        <w:gridCol w:w="776"/>
        <w:gridCol w:w="968"/>
        <w:gridCol w:w="968"/>
        <w:gridCol w:w="1352"/>
      </w:tblGrid>
      <w:tr w:rsidR="00F25641" w:rsidRPr="00F25641" w:rsidTr="002A587C">
        <w:trPr>
          <w:trHeight w:val="370"/>
          <w:jc w:val="center"/>
        </w:trPr>
        <w:tc>
          <w:tcPr>
            <w:tcW w:w="456" w:type="pct"/>
            <w:shd w:val="clear" w:color="auto" w:fill="auto"/>
            <w:vAlign w:val="center"/>
          </w:tcPr>
          <w:p w:rsidR="00F25641" w:rsidRDefault="00F25641" w:rsidP="00F25641">
            <w:pPr>
              <w:spacing w:line="160" w:lineRule="auto"/>
              <w:jc w:val="center"/>
              <w:rPr>
                <w:rFonts w:ascii="宋体" w:eastAsia="宋体" w:hAnsi="宋体"/>
                <w:sz w:val="18"/>
              </w:rPr>
            </w:pPr>
            <w:bookmarkStart w:id="0" w:name="_GoBack"/>
            <w:bookmarkEnd w:id="0"/>
            <w:r>
              <w:rPr>
                <w:rFonts w:ascii="宋体" w:eastAsia="宋体" w:hAnsi="宋体" w:hint="eastAsia"/>
                <w:sz w:val="18"/>
              </w:rPr>
              <w:t>学期</w:t>
            </w:r>
          </w:p>
        </w:tc>
        <w:tc>
          <w:tcPr>
            <w:tcW w:w="1591" w:type="pc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课程名称</w:t>
            </w:r>
          </w:p>
        </w:tc>
        <w:tc>
          <w:tcPr>
            <w:tcW w:w="568" w:type="pc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课程代码</w:t>
            </w:r>
          </w:p>
        </w:tc>
        <w:tc>
          <w:tcPr>
            <w:tcW w:w="455" w:type="pc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学分</w:t>
            </w:r>
          </w:p>
        </w:tc>
        <w:tc>
          <w:tcPr>
            <w:tcW w:w="568" w:type="pc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考核形式</w:t>
            </w:r>
          </w:p>
        </w:tc>
        <w:tc>
          <w:tcPr>
            <w:tcW w:w="568" w:type="pc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考试形式</w:t>
            </w:r>
          </w:p>
        </w:tc>
        <w:tc>
          <w:tcPr>
            <w:tcW w:w="793" w:type="pc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课程性质</w:t>
            </w:r>
          </w:p>
        </w:tc>
      </w:tr>
      <w:tr w:rsidR="00F25641" w:rsidRPr="00F25641" w:rsidTr="002A587C">
        <w:trPr>
          <w:trHeight w:val="360"/>
          <w:jc w:val="center"/>
        </w:trPr>
        <w:tc>
          <w:tcPr>
            <w:tcW w:w="456" w:type="pct"/>
            <w:vMerge w:val="restar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第</w:t>
            </w:r>
          </w:p>
          <w:p w:rsidR="00F25641" w:rsidRDefault="00F25641" w:rsidP="00F25641">
            <w:pPr>
              <w:spacing w:line="160" w:lineRule="auto"/>
              <w:jc w:val="center"/>
              <w:rPr>
                <w:rFonts w:ascii="宋体" w:eastAsia="宋体" w:hAnsi="宋体"/>
                <w:sz w:val="18"/>
              </w:rPr>
            </w:pPr>
            <w:r>
              <w:rPr>
                <w:rFonts w:ascii="宋体" w:eastAsia="宋体" w:hAnsi="宋体"/>
                <w:sz w:val="18"/>
              </w:rPr>
              <w:t>1</w:t>
            </w:r>
          </w:p>
          <w:p w:rsidR="00F25641" w:rsidRDefault="00F25641" w:rsidP="00F25641">
            <w:pPr>
              <w:spacing w:line="160" w:lineRule="auto"/>
              <w:jc w:val="center"/>
              <w:rPr>
                <w:rFonts w:ascii="宋体" w:eastAsia="宋体" w:hAnsi="宋体"/>
                <w:sz w:val="18"/>
              </w:rPr>
            </w:pPr>
            <w:r>
              <w:rPr>
                <w:rFonts w:ascii="宋体" w:eastAsia="宋体" w:hAnsi="宋体" w:hint="eastAsia"/>
                <w:sz w:val="18"/>
              </w:rPr>
              <w:t>学</w:t>
            </w:r>
          </w:p>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大学英语</w:t>
            </w:r>
            <w:r>
              <w:rPr>
                <w:rFonts w:ascii="宋体" w:eastAsia="宋体" w:hAnsi="宋体"/>
                <w:sz w:val="18"/>
              </w:rPr>
              <w:t>III*</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000300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工程数学</w:t>
            </w:r>
            <w:r>
              <w:rPr>
                <w:rFonts w:ascii="宋体" w:eastAsia="宋体" w:hAnsi="宋体"/>
                <w:sz w:val="18"/>
              </w:rPr>
              <w:t>I</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001100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3</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计算机应用基础</w:t>
            </w:r>
            <w:r>
              <w:rPr>
                <w:rFonts w:ascii="宋体" w:eastAsia="宋体" w:hAnsi="宋体"/>
                <w:sz w:val="18"/>
              </w:rPr>
              <w:t>*</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001300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毛泽东思想和中国特色社会主义理论体系</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001800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学习导航</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002000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2</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专业概论（工程管理类）</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002400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455"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18</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tcPr>
          <w:p w:rsidR="00F25641" w:rsidRPr="00F25641" w:rsidRDefault="00F25641" w:rsidP="00F25641">
            <w:pPr>
              <w:spacing w:line="160" w:lineRule="auto"/>
              <w:jc w:val="center"/>
              <w:rPr>
                <w:rFonts w:ascii="宋体" w:eastAsia="宋体" w:hAnsi="宋体"/>
                <w:sz w:val="18"/>
              </w:rPr>
            </w:pPr>
          </w:p>
        </w:tc>
      </w:tr>
      <w:tr w:rsidR="00F25641" w:rsidRPr="00F25641" w:rsidTr="002A587C">
        <w:trPr>
          <w:trHeight w:val="360"/>
          <w:jc w:val="center"/>
        </w:trPr>
        <w:tc>
          <w:tcPr>
            <w:tcW w:w="456" w:type="pct"/>
            <w:vMerge w:val="restar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第</w:t>
            </w:r>
          </w:p>
          <w:p w:rsidR="00F25641" w:rsidRDefault="00F25641" w:rsidP="00F25641">
            <w:pPr>
              <w:spacing w:line="160" w:lineRule="auto"/>
              <w:jc w:val="center"/>
              <w:rPr>
                <w:rFonts w:ascii="宋体" w:eastAsia="宋体" w:hAnsi="宋体"/>
                <w:sz w:val="18"/>
              </w:rPr>
            </w:pPr>
            <w:r>
              <w:rPr>
                <w:rFonts w:ascii="宋体" w:eastAsia="宋体" w:hAnsi="宋体"/>
                <w:sz w:val="18"/>
              </w:rPr>
              <w:lastRenderedPageBreak/>
              <w:t>2</w:t>
            </w:r>
          </w:p>
          <w:p w:rsidR="00F25641" w:rsidRDefault="00F25641" w:rsidP="00F25641">
            <w:pPr>
              <w:spacing w:line="160" w:lineRule="auto"/>
              <w:jc w:val="center"/>
              <w:rPr>
                <w:rFonts w:ascii="宋体" w:eastAsia="宋体" w:hAnsi="宋体"/>
                <w:sz w:val="18"/>
              </w:rPr>
            </w:pPr>
            <w:r>
              <w:rPr>
                <w:rFonts w:ascii="宋体" w:eastAsia="宋体" w:hAnsi="宋体" w:hint="eastAsia"/>
                <w:sz w:val="18"/>
              </w:rPr>
              <w:t>学</w:t>
            </w:r>
          </w:p>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lastRenderedPageBreak/>
              <w:t>大学英语</w:t>
            </w:r>
            <w:r>
              <w:rPr>
                <w:rFonts w:ascii="宋体" w:eastAsia="宋体" w:hAnsi="宋体"/>
                <w:sz w:val="18"/>
              </w:rPr>
              <w:t>IV*</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000400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工程经济学</w:t>
            </w:r>
            <w:r>
              <w:rPr>
                <w:rFonts w:ascii="宋体" w:eastAsia="宋体" w:hAnsi="宋体"/>
                <w:sz w:val="18"/>
              </w:rPr>
              <w:t>B*</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129202</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管理学原理</w:t>
            </w:r>
            <w:r>
              <w:rPr>
                <w:rFonts w:ascii="宋体" w:eastAsia="宋体" w:hAnsi="宋体"/>
                <w:sz w:val="18"/>
              </w:rPr>
              <w:t>C*</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136103</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计算机绘图</w:t>
            </w:r>
            <w:r>
              <w:rPr>
                <w:rFonts w:ascii="宋体" w:eastAsia="宋体" w:hAnsi="宋体"/>
                <w:sz w:val="18"/>
              </w:rPr>
              <w:t>B</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149902</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3</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455"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15</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tcPr>
          <w:p w:rsidR="00F25641" w:rsidRPr="00F25641" w:rsidRDefault="00F25641" w:rsidP="00F25641">
            <w:pPr>
              <w:spacing w:line="160" w:lineRule="auto"/>
              <w:jc w:val="center"/>
              <w:rPr>
                <w:rFonts w:ascii="宋体" w:eastAsia="宋体" w:hAnsi="宋体"/>
                <w:sz w:val="18"/>
              </w:rPr>
            </w:pPr>
          </w:p>
        </w:tc>
      </w:tr>
      <w:tr w:rsidR="00F25641" w:rsidRPr="00F25641" w:rsidTr="002A587C">
        <w:trPr>
          <w:trHeight w:val="360"/>
          <w:jc w:val="center"/>
        </w:trPr>
        <w:tc>
          <w:tcPr>
            <w:tcW w:w="456" w:type="pct"/>
            <w:vMerge w:val="restar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第</w:t>
            </w:r>
          </w:p>
          <w:p w:rsidR="00F25641" w:rsidRDefault="00F25641" w:rsidP="00F25641">
            <w:pPr>
              <w:spacing w:line="160" w:lineRule="auto"/>
              <w:jc w:val="center"/>
              <w:rPr>
                <w:rFonts w:ascii="宋体" w:eastAsia="宋体" w:hAnsi="宋体"/>
                <w:sz w:val="18"/>
              </w:rPr>
            </w:pPr>
            <w:r>
              <w:rPr>
                <w:rFonts w:ascii="宋体" w:eastAsia="宋体" w:hAnsi="宋体"/>
                <w:sz w:val="18"/>
              </w:rPr>
              <w:t>3</w:t>
            </w:r>
          </w:p>
          <w:p w:rsidR="00F25641" w:rsidRDefault="00F25641" w:rsidP="00F25641">
            <w:pPr>
              <w:spacing w:line="160" w:lineRule="auto"/>
              <w:jc w:val="center"/>
              <w:rPr>
                <w:rFonts w:ascii="宋体" w:eastAsia="宋体" w:hAnsi="宋体"/>
                <w:sz w:val="18"/>
              </w:rPr>
            </w:pPr>
            <w:r>
              <w:rPr>
                <w:rFonts w:ascii="宋体" w:eastAsia="宋体" w:hAnsi="宋体" w:hint="eastAsia"/>
                <w:sz w:val="18"/>
              </w:rPr>
              <w:t>学</w:t>
            </w:r>
          </w:p>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财务管理学</w:t>
            </w:r>
            <w:r>
              <w:rPr>
                <w:rFonts w:ascii="宋体" w:eastAsia="宋体" w:hAnsi="宋体"/>
                <w:sz w:val="18"/>
              </w:rPr>
              <w:t>B</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105302</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房屋建筑学</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123100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闭卷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建设法与房地产法</w:t>
            </w:r>
            <w:r>
              <w:rPr>
                <w:rFonts w:ascii="宋体" w:eastAsia="宋体" w:hAnsi="宋体"/>
                <w:sz w:val="18"/>
              </w:rPr>
              <w:t>*</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153900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土木工程项目管理</w:t>
            </w:r>
            <w:r>
              <w:rPr>
                <w:rFonts w:ascii="宋体" w:eastAsia="宋体" w:hAnsi="宋体"/>
                <w:sz w:val="18"/>
              </w:rPr>
              <w:t>B*</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190002</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455"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20</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tcPr>
          <w:p w:rsidR="00F25641" w:rsidRPr="00F25641" w:rsidRDefault="00F25641" w:rsidP="00F25641">
            <w:pPr>
              <w:spacing w:line="160" w:lineRule="auto"/>
              <w:jc w:val="center"/>
              <w:rPr>
                <w:rFonts w:ascii="宋体" w:eastAsia="宋体" w:hAnsi="宋体"/>
                <w:sz w:val="18"/>
              </w:rPr>
            </w:pPr>
          </w:p>
        </w:tc>
      </w:tr>
      <w:tr w:rsidR="00F25641" w:rsidRPr="00F25641" w:rsidTr="002A587C">
        <w:trPr>
          <w:trHeight w:val="360"/>
          <w:jc w:val="center"/>
        </w:trPr>
        <w:tc>
          <w:tcPr>
            <w:tcW w:w="456" w:type="pct"/>
            <w:vMerge w:val="restar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第</w:t>
            </w:r>
          </w:p>
          <w:p w:rsidR="00F25641" w:rsidRDefault="00F25641" w:rsidP="00F25641">
            <w:pPr>
              <w:spacing w:line="160" w:lineRule="auto"/>
              <w:jc w:val="center"/>
              <w:rPr>
                <w:rFonts w:ascii="宋体" w:eastAsia="宋体" w:hAnsi="宋体"/>
                <w:sz w:val="18"/>
              </w:rPr>
            </w:pPr>
            <w:r>
              <w:rPr>
                <w:rFonts w:ascii="宋体" w:eastAsia="宋体" w:hAnsi="宋体"/>
                <w:sz w:val="18"/>
              </w:rPr>
              <w:t>4</w:t>
            </w:r>
          </w:p>
          <w:p w:rsidR="00F25641" w:rsidRDefault="00F25641" w:rsidP="00F25641">
            <w:pPr>
              <w:spacing w:line="160" w:lineRule="auto"/>
              <w:jc w:val="center"/>
              <w:rPr>
                <w:rFonts w:ascii="宋体" w:eastAsia="宋体" w:hAnsi="宋体"/>
                <w:sz w:val="18"/>
              </w:rPr>
            </w:pPr>
            <w:r>
              <w:rPr>
                <w:rFonts w:ascii="宋体" w:eastAsia="宋体" w:hAnsi="宋体" w:hint="eastAsia"/>
                <w:sz w:val="18"/>
              </w:rPr>
              <w:t>学</w:t>
            </w:r>
          </w:p>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期</w:t>
            </w: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工程造价确定与控制</w:t>
            </w:r>
            <w:r>
              <w:rPr>
                <w:rFonts w:ascii="宋体" w:eastAsia="宋体" w:hAnsi="宋体"/>
                <w:sz w:val="18"/>
              </w:rPr>
              <w:t>B</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130802</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建筑工程合同管理</w:t>
            </w:r>
            <w:r>
              <w:rPr>
                <w:rFonts w:ascii="宋体" w:eastAsia="宋体" w:hAnsi="宋体"/>
                <w:sz w:val="18"/>
              </w:rPr>
              <w:t>*</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155100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科技论文写作</w:t>
            </w:r>
            <w:r>
              <w:rPr>
                <w:rFonts w:ascii="宋体" w:eastAsia="宋体" w:hAnsi="宋体"/>
                <w:sz w:val="18"/>
              </w:rPr>
              <w:t>A</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001400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2</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考查</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公共基础课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投资风险管理学</w:t>
            </w:r>
            <w:r>
              <w:rPr>
                <w:rFonts w:ascii="宋体" w:eastAsia="宋体" w:hAnsi="宋体"/>
                <w:sz w:val="18"/>
              </w:rPr>
              <w:t>*</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188000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5</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项目决策分析与评价</w:t>
            </w:r>
            <w:r>
              <w:rPr>
                <w:rFonts w:ascii="宋体" w:eastAsia="宋体" w:hAnsi="宋体"/>
                <w:sz w:val="18"/>
              </w:rPr>
              <w:t>B</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198802</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3</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考试</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开卷</w:t>
            </w: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455" w:type="pct"/>
            <w:shd w:val="clear" w:color="auto" w:fill="auto"/>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18</w:t>
            </w: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tcPr>
          <w:p w:rsidR="00F25641" w:rsidRPr="00F25641" w:rsidRDefault="00F25641" w:rsidP="00F25641">
            <w:pPr>
              <w:spacing w:line="160" w:lineRule="auto"/>
              <w:jc w:val="center"/>
              <w:rPr>
                <w:rFonts w:ascii="宋体" w:eastAsia="宋体" w:hAnsi="宋体"/>
                <w:sz w:val="18"/>
              </w:rPr>
            </w:pPr>
          </w:p>
        </w:tc>
      </w:tr>
      <w:tr w:rsidR="00F25641" w:rsidRPr="00F25641" w:rsidTr="002A587C">
        <w:trPr>
          <w:trHeight w:val="360"/>
          <w:jc w:val="center"/>
        </w:trPr>
        <w:tc>
          <w:tcPr>
            <w:tcW w:w="456" w:type="pct"/>
            <w:vMerge w:val="restart"/>
            <w:shd w:val="clear" w:color="auto" w:fill="auto"/>
            <w:vAlign w:val="center"/>
          </w:tcPr>
          <w:p w:rsidR="00F25641" w:rsidRDefault="00F25641" w:rsidP="00F25641">
            <w:pPr>
              <w:spacing w:line="160" w:lineRule="auto"/>
              <w:jc w:val="center"/>
              <w:rPr>
                <w:rFonts w:ascii="宋体" w:eastAsia="宋体" w:hAnsi="宋体"/>
                <w:sz w:val="18"/>
              </w:rPr>
            </w:pPr>
            <w:r>
              <w:rPr>
                <w:rFonts w:ascii="宋体" w:eastAsia="宋体" w:hAnsi="宋体" w:hint="eastAsia"/>
                <w:sz w:val="18"/>
              </w:rPr>
              <w:t>第</w:t>
            </w:r>
            <w:r>
              <w:rPr>
                <w:rFonts w:ascii="宋体" w:eastAsia="宋体" w:hAnsi="宋体"/>
                <w:sz w:val="18"/>
              </w:rPr>
              <w:t>5</w:t>
            </w:r>
          </w:p>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学期</w:t>
            </w: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毕业设计（论文）</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103000</w:t>
            </w: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12</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毕业实习</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250900</w:t>
            </w:r>
          </w:p>
        </w:tc>
        <w:tc>
          <w:tcPr>
            <w:tcW w:w="455" w:type="pct"/>
            <w:shd w:val="clear" w:color="auto" w:fill="auto"/>
            <w:vAlign w:val="center"/>
          </w:tcPr>
          <w:p w:rsidR="00F25641" w:rsidRPr="00F25641" w:rsidRDefault="002A587C" w:rsidP="00F25641">
            <w:pPr>
              <w:spacing w:line="160" w:lineRule="auto"/>
              <w:jc w:val="center"/>
              <w:rPr>
                <w:rFonts w:ascii="宋体" w:eastAsia="宋体" w:hAnsi="宋体"/>
                <w:sz w:val="18"/>
              </w:rPr>
            </w:pPr>
            <w:r>
              <w:rPr>
                <w:rFonts w:ascii="宋体" w:eastAsia="宋体" w:hAnsi="宋体" w:hint="eastAsia"/>
                <w:sz w:val="18"/>
              </w:rPr>
              <w:t>5</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专业课</w:t>
            </w:r>
          </w:p>
        </w:tc>
      </w:tr>
      <w:tr w:rsidR="00F25641" w:rsidRPr="00F25641" w:rsidTr="002A587C">
        <w:trPr>
          <w:trHeight w:val="360"/>
          <w:jc w:val="center"/>
        </w:trPr>
        <w:tc>
          <w:tcPr>
            <w:tcW w:w="456" w:type="pct"/>
            <w:vMerge/>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小计</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455" w:type="pct"/>
            <w:shd w:val="clear" w:color="auto" w:fill="auto"/>
            <w:vAlign w:val="center"/>
          </w:tcPr>
          <w:p w:rsidR="00F25641" w:rsidRPr="00F25641" w:rsidRDefault="00F25641" w:rsidP="0047671C">
            <w:pPr>
              <w:spacing w:line="160" w:lineRule="auto"/>
              <w:jc w:val="center"/>
              <w:rPr>
                <w:rFonts w:ascii="宋体" w:eastAsia="宋体" w:hAnsi="宋体"/>
                <w:sz w:val="18"/>
              </w:rPr>
            </w:pPr>
            <w:r>
              <w:rPr>
                <w:rFonts w:ascii="宋体" w:eastAsia="宋体" w:hAnsi="宋体"/>
                <w:sz w:val="18"/>
              </w:rPr>
              <w:t>1</w:t>
            </w:r>
            <w:r w:rsidR="0047671C">
              <w:rPr>
                <w:rFonts w:ascii="宋体" w:eastAsia="宋体" w:hAnsi="宋体" w:hint="eastAsia"/>
                <w:sz w:val="18"/>
              </w:rPr>
              <w:t>7</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r>
      <w:tr w:rsidR="00F25641" w:rsidRPr="00F25641" w:rsidTr="002A587C">
        <w:trPr>
          <w:trHeight w:val="360"/>
          <w:jc w:val="center"/>
        </w:trPr>
        <w:tc>
          <w:tcPr>
            <w:tcW w:w="456"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1591"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hint="eastAsia"/>
                <w:sz w:val="18"/>
              </w:rPr>
              <w:t>总计</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455" w:type="pct"/>
            <w:shd w:val="clear" w:color="auto" w:fill="auto"/>
            <w:vAlign w:val="center"/>
          </w:tcPr>
          <w:p w:rsidR="00F25641" w:rsidRPr="00F25641" w:rsidRDefault="00F25641" w:rsidP="00F25641">
            <w:pPr>
              <w:spacing w:line="160" w:lineRule="auto"/>
              <w:jc w:val="center"/>
              <w:rPr>
                <w:rFonts w:ascii="宋体" w:eastAsia="宋体" w:hAnsi="宋体"/>
                <w:sz w:val="18"/>
              </w:rPr>
            </w:pPr>
            <w:r>
              <w:rPr>
                <w:rFonts w:ascii="宋体" w:eastAsia="宋体" w:hAnsi="宋体"/>
                <w:sz w:val="18"/>
              </w:rPr>
              <w:t>84</w:t>
            </w: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568"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c>
          <w:tcPr>
            <w:tcW w:w="793" w:type="pct"/>
            <w:shd w:val="clear" w:color="auto" w:fill="auto"/>
            <w:vAlign w:val="center"/>
          </w:tcPr>
          <w:p w:rsidR="00F25641" w:rsidRPr="00F25641" w:rsidRDefault="00F25641" w:rsidP="00F25641">
            <w:pPr>
              <w:spacing w:line="160" w:lineRule="auto"/>
              <w:jc w:val="center"/>
              <w:rPr>
                <w:rFonts w:ascii="宋体" w:eastAsia="宋体" w:hAnsi="宋体"/>
                <w:sz w:val="18"/>
              </w:rPr>
            </w:pPr>
          </w:p>
        </w:tc>
      </w:tr>
    </w:tbl>
    <w:p w:rsidR="00F25641" w:rsidRPr="00F25641" w:rsidRDefault="00F25641" w:rsidP="00F25641">
      <w:pPr>
        <w:spacing w:line="360" w:lineRule="auto"/>
        <w:jc w:val="left"/>
        <w:rPr>
          <w:rFonts w:ascii="楷体" w:eastAsia="楷体" w:hAnsi="宋体"/>
        </w:rPr>
      </w:pPr>
    </w:p>
    <w:sectPr w:rsidR="00F25641" w:rsidRPr="00F25641" w:rsidSect="00A652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66" w:rsidRDefault="005B3E66" w:rsidP="00F25641">
      <w:r>
        <w:separator/>
      </w:r>
    </w:p>
  </w:endnote>
  <w:endnote w:type="continuationSeparator" w:id="1">
    <w:p w:rsidR="005B3E66" w:rsidRDefault="005B3E66" w:rsidP="00F256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楷体">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66" w:rsidRDefault="005B3E66" w:rsidP="00F25641">
      <w:r>
        <w:separator/>
      </w:r>
    </w:p>
  </w:footnote>
  <w:footnote w:type="continuationSeparator" w:id="1">
    <w:p w:rsidR="005B3E66" w:rsidRDefault="005B3E66" w:rsidP="00F25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641"/>
    <w:rsid w:val="00115C54"/>
    <w:rsid w:val="00123BA9"/>
    <w:rsid w:val="0026102A"/>
    <w:rsid w:val="002A587C"/>
    <w:rsid w:val="003D6326"/>
    <w:rsid w:val="004722F5"/>
    <w:rsid w:val="0047671C"/>
    <w:rsid w:val="005B3E66"/>
    <w:rsid w:val="00A6529E"/>
    <w:rsid w:val="00BA6655"/>
    <w:rsid w:val="00CF0758"/>
    <w:rsid w:val="00DB5142"/>
    <w:rsid w:val="00F256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6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641"/>
    <w:rPr>
      <w:sz w:val="18"/>
      <w:szCs w:val="18"/>
    </w:rPr>
  </w:style>
  <w:style w:type="paragraph" w:styleId="a4">
    <w:name w:val="footer"/>
    <w:basedOn w:val="a"/>
    <w:link w:val="Char0"/>
    <w:uiPriority w:val="99"/>
    <w:unhideWhenUsed/>
    <w:rsid w:val="00F25641"/>
    <w:pPr>
      <w:tabs>
        <w:tab w:val="center" w:pos="4153"/>
        <w:tab w:val="right" w:pos="8306"/>
      </w:tabs>
      <w:snapToGrid w:val="0"/>
      <w:jc w:val="left"/>
    </w:pPr>
    <w:rPr>
      <w:sz w:val="18"/>
      <w:szCs w:val="18"/>
    </w:rPr>
  </w:style>
  <w:style w:type="character" w:customStyle="1" w:styleId="Char0">
    <w:name w:val="页脚 Char"/>
    <w:basedOn w:val="a0"/>
    <w:link w:val="a4"/>
    <w:uiPriority w:val="99"/>
    <w:rsid w:val="00F2564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Company>西南交通大学</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关蕾</dc:creator>
  <cp:keywords/>
  <dc:description/>
  <cp:lastModifiedBy>Lenovo User</cp:lastModifiedBy>
  <cp:revision>4</cp:revision>
  <dcterms:created xsi:type="dcterms:W3CDTF">2015-07-07T01:32:00Z</dcterms:created>
  <dcterms:modified xsi:type="dcterms:W3CDTF">2015-09-14T03:21:00Z</dcterms:modified>
</cp:coreProperties>
</file>